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A7B" w:rsidRDefault="008D1A7B" w:rsidP="008D1A7B">
      <w:pPr>
        <w:jc w:val="center"/>
      </w:pPr>
    </w:p>
    <w:p w:rsidR="008D1A7B" w:rsidRDefault="008D1A7B" w:rsidP="008D1A7B">
      <w:pPr>
        <w:jc w:val="center"/>
      </w:pPr>
    </w:p>
    <w:p w:rsidR="008D1A7B" w:rsidRDefault="008D1A7B" w:rsidP="008D1A7B">
      <w:pPr>
        <w:jc w:val="center"/>
      </w:pPr>
    </w:p>
    <w:p w:rsidR="008D1A7B" w:rsidRDefault="008D1A7B" w:rsidP="008D1A7B">
      <w:pPr>
        <w:jc w:val="center"/>
      </w:pPr>
    </w:p>
    <w:p w:rsidR="008D1A7B" w:rsidRDefault="008D1A7B" w:rsidP="008D1A7B">
      <w:pPr>
        <w:jc w:val="center"/>
      </w:pPr>
    </w:p>
    <w:p w:rsidR="008D1A7B" w:rsidRDefault="008D1A7B" w:rsidP="008D1A7B">
      <w:pPr>
        <w:jc w:val="center"/>
      </w:pPr>
    </w:p>
    <w:p w:rsidR="0034777A" w:rsidRDefault="008D1A7B" w:rsidP="008D1A7B">
      <w:pPr>
        <w:jc w:val="center"/>
      </w:pPr>
      <w:r>
        <w:t xml:space="preserve">US </w:t>
      </w:r>
      <w:bookmarkStart w:id="0" w:name="_GoBack"/>
      <w:r>
        <w:t>Open Tournament</w:t>
      </w:r>
      <w:bookmarkEnd w:id="0"/>
    </w:p>
    <w:p w:rsidR="0034777A" w:rsidRDefault="008D1A7B" w:rsidP="008D1A7B">
      <w:pPr>
        <w:jc w:val="center"/>
      </w:pPr>
      <w:r>
        <w:t>Student’s Name</w:t>
      </w:r>
    </w:p>
    <w:p w:rsidR="008D1A7B" w:rsidRDefault="008D1A7B" w:rsidP="008D1A7B">
      <w:pPr>
        <w:jc w:val="center"/>
      </w:pPr>
      <w:r>
        <w:t>Institution</w:t>
      </w:r>
    </w:p>
    <w:p w:rsidR="008D1A7B" w:rsidRDefault="008D1A7B">
      <w:pPr>
        <w:spacing w:line="276" w:lineRule="auto"/>
      </w:pPr>
      <w:r>
        <w:br w:type="page"/>
      </w:r>
    </w:p>
    <w:p w:rsidR="0034777A" w:rsidRDefault="008D1A7B" w:rsidP="008D1A7B">
      <w:pPr>
        <w:jc w:val="center"/>
      </w:pPr>
      <w:r>
        <w:lastRenderedPageBreak/>
        <w:t>US Open Tournament</w:t>
      </w:r>
    </w:p>
    <w:p w:rsidR="008D1A7B" w:rsidRDefault="008D1A7B" w:rsidP="008D1A7B">
      <w:pPr>
        <w:jc w:val="center"/>
      </w:pPr>
      <w:r>
        <w:t>Introduction</w:t>
      </w:r>
    </w:p>
    <w:p w:rsidR="008D1A7B" w:rsidRDefault="008D1A7B" w:rsidP="008D1A7B">
      <w:r>
        <w:t xml:space="preserve">           A US Open tournament took place at the Arthur Ashe Stadium located in USTA Billie Jean King National Tennis Center, New York. It was scheduled to kick off at 11 am on Sunday, 19th April 2020. The total capacity of attendance was 18, 325, and the tickets prices varied based on seating. Attendees who sat at the promenade paid tickets worth $114, those on the loge rows G-N paid $201, and the ones who sat at the loge rows A-F paid $201 too. The tickets were purchased online through Mobile Entry within the website of USTA. The report seeks to give my insights as the events manager of the tournament concerning the activities that made the event a memorable experience and initiatives that can be done to improve the overall experience of attendees.</w:t>
      </w:r>
    </w:p>
    <w:p w:rsidR="008D1A7B" w:rsidRDefault="008D1A7B" w:rsidP="008D1A7B">
      <w:r>
        <w:t>1. What was the service like from entry to exit (based on observations and personal requests for service)?</w:t>
      </w:r>
    </w:p>
    <w:p w:rsidR="008D1A7B" w:rsidRDefault="008D1A7B" w:rsidP="008D1A7B">
      <w:pPr>
        <w:ind w:firstLine="720"/>
      </w:pPr>
      <w:r>
        <w:t xml:space="preserve">The service provided when entering the USTA Billie Jean King National Tennis Center is remarkable and welcoming. Some ushers gave directions to fans by listening to their requests. Also, the ushers help fans access their seats by showing them where they are positioned. The welcoming nature of the ushers makes it appealing for the attendees to consider coming for more events in the future. The accessible seating endowed by the Arthur Ashe stadium is impeccable as the available vertical access has been ensured using ramps, elevators as well as escalators. In the stadium, there was wheelchair-accessible seating on the lower and upper concourses. The venue has guaranteed that seating is available to attendees based on first-come, first-served.  After the completion of the event, a voiceover thanked fans for attending the event and gave a </w:t>
      </w:r>
      <w:r>
        <w:lastRenderedPageBreak/>
        <w:t>timeline of the upcoming event to be hosted. This was a kind gesture in making sure that attendees are recognized in ensuring that the event was undertaken successfully.</w:t>
      </w:r>
    </w:p>
    <w:p w:rsidR="008D1A7B" w:rsidRDefault="008D1A7B" w:rsidP="008D1A7B">
      <w:r>
        <w:t>2. What was done at the event to engage the audience?</w:t>
      </w:r>
    </w:p>
    <w:p w:rsidR="008D1A7B" w:rsidRDefault="008D1A7B" w:rsidP="008D1A7B">
      <w:pPr>
        <w:ind w:firstLine="720"/>
      </w:pPr>
      <w:r>
        <w:t>The organizers of the tennis event devised diverse ways on how to ensure that attendees were fully engaged. For instance, the event organizers incorporated joint initiatives with sponsors such as Fila, American Express, and Asics, to name a few. The sponsors’ brand had an appealing influence on fans who attended the event. The renowned brands heightened the engagement of fans through social media as well as sponsored content</w:t>
      </w:r>
      <w:r w:rsidRPr="002A14B5">
        <w:rPr>
          <w:rFonts w:eastAsia="Times New Roman" w:cs="Times New Roman"/>
          <w:szCs w:val="24"/>
        </w:rPr>
        <w:t xml:space="preserve"> </w:t>
      </w:r>
      <w:r>
        <w:rPr>
          <w:rFonts w:eastAsia="Times New Roman" w:cs="Times New Roman"/>
          <w:szCs w:val="24"/>
        </w:rPr>
        <w:t>(</w:t>
      </w:r>
      <w:r w:rsidRPr="00A7788E">
        <w:rPr>
          <w:rFonts w:eastAsia="Times New Roman" w:cs="Times New Roman"/>
          <w:szCs w:val="24"/>
        </w:rPr>
        <w:t>Ac</w:t>
      </w:r>
      <w:r>
        <w:rPr>
          <w:rFonts w:eastAsia="Times New Roman" w:cs="Times New Roman"/>
          <w:szCs w:val="24"/>
        </w:rPr>
        <w:t>hen et al., 2020)</w:t>
      </w:r>
      <w:r>
        <w:t>. The initiatives by the brands went a long way in promoting increased engagement of attendees with the event.</w:t>
      </w:r>
    </w:p>
    <w:p w:rsidR="008D1A7B" w:rsidRDefault="008D1A7B" w:rsidP="008D1A7B">
      <w:r>
        <w:tab/>
        <w:t xml:space="preserve">Different attendee engagement initiatives were integrated into the event. Firstly, there was using a throwable microphone at designated points. Using catch-boxes within the event encouraged fans to take part in conversations among them, thereby increasing their levels of engagement. And the move was effective in ensuring that attendees open up and play a role in discussions within them. The use of video testimonials at the social media marketing world had a significant influence on bolstering engagement of attendees of the event. A host of professional videographers went around recording quick and short interviews with attendees and getting to know their feedbacks concerning the unfolding of the event. The ploy made it easier for fans to become engaged with the event. Also, the event speakers were interviewed, thereby resulting in additional bonus characterized by this kind of engagement tactic. Sponsors' activations were instrumental in promoting the engagement of attendees and sponsors at the event. The sponsors such as Fila, IHG Hotels &amp; Resorts, and American Express introduced unique activations that captivated attendees.  </w:t>
      </w:r>
    </w:p>
    <w:p w:rsidR="008D1A7B" w:rsidRDefault="008D1A7B" w:rsidP="008D1A7B">
      <w:r>
        <w:t>3. Were there any factors that appealed to any or all of the five senses?</w:t>
      </w:r>
    </w:p>
    <w:p w:rsidR="008D1A7B" w:rsidRDefault="008D1A7B" w:rsidP="008D1A7B">
      <w:pPr>
        <w:ind w:firstLine="720"/>
      </w:pPr>
      <w:r>
        <w:t>The brands deployed different services that had considerable experiences with attendees. American Express was instrumental in ensuring that attendees are engaged with its brand and the event as well. They rendered services that ensured continual engagement of the fans with the brands and the event by encompassing experiences that appealed to a sense of smell, touch, sight, hearing, and taste. American Express utilized cutting-edge technology to make sure that attendees were engaged by appealing to their sense of touch and hearing</w:t>
      </w:r>
      <w:r w:rsidRPr="00803B9D">
        <w:rPr>
          <w:rFonts w:eastAsia="Times New Roman" w:cs="Times New Roman"/>
          <w:szCs w:val="24"/>
        </w:rPr>
        <w:t xml:space="preserve"> </w:t>
      </w:r>
      <w:r>
        <w:rPr>
          <w:rFonts w:eastAsia="Times New Roman" w:cs="Times New Roman"/>
          <w:szCs w:val="24"/>
        </w:rPr>
        <w:t xml:space="preserve">(Billings, </w:t>
      </w:r>
      <w:r w:rsidRPr="00A7788E">
        <w:rPr>
          <w:rFonts w:eastAsia="Times New Roman" w:cs="Times New Roman"/>
          <w:szCs w:val="24"/>
        </w:rPr>
        <w:t>Coomb</w:t>
      </w:r>
      <w:r>
        <w:rPr>
          <w:rFonts w:eastAsia="Times New Roman" w:cs="Times New Roman"/>
          <w:szCs w:val="24"/>
        </w:rPr>
        <w:t>s, &amp; Brown, 2019)</w:t>
      </w:r>
      <w:r>
        <w:t>. The brand used “Tennis City” Activation within its Fan Experience. Further, the brand provided a Cardmember Lounge, and cardmember spend offers as well as contactless payment touchpoints during the event. It has a considerable influence on small businesses by offering them networking opportunities. American Express radios provided live commentary from the ESPN channel, which was made accessible to cardmembers. Phew. The brand fused the sport of tennis with the rich culture of America using the Tennis City experience, thus offering fans multiple interactive engagements. There were digital murals that were designed and allowed attendees to get involved in digital spray-painting their works of art.</w:t>
      </w:r>
    </w:p>
    <w:p w:rsidR="008D1A7B" w:rsidRDefault="008D1A7B" w:rsidP="008D1A7B">
      <w:pPr>
        <w:ind w:firstLine="720"/>
      </w:pPr>
      <w:r>
        <w:t>Another brand, Fila, had unfathomable experience on fans as it created Tennis in Technicolor pop-up experience within the event, which displayed the connection of fashion and tennis. The brand had appealed to the fan’s sense of sight and touch. Moreover, the brand released a collection of sketches within the tennis tournament, which invited to get involved in the filling of a coloring book mural wall characterized by Rolando Campaign graphics during break intervals. IHG Hotel and Resorts wowed attendees with a slate of experiences that enhanced the engagement of fans. The brand appealed to the fan’s sense of taste and smell. It provided free meal vouchers along with hands-on tennis activities to fans as it served as a certified sponsor of Arthur Ashe Kid’s Day. The package would see two lucky fans earn a promotion to courtside seats with a week’s night stay at Maldives resort owned by IHG. During the event, the brand provided exclusive perks to dependable members such as post-match access to the press conference, breakfast within the dining area of players as well as meet-and-greet passes.</w:t>
      </w:r>
    </w:p>
    <w:p w:rsidR="008D1A7B" w:rsidRDefault="008D1A7B" w:rsidP="008D1A7B">
      <w:r>
        <w:t>4. Was anything done at the event that contributed to both the overall experience and the functioning of the event?</w:t>
      </w:r>
    </w:p>
    <w:p w:rsidR="008D1A7B" w:rsidRDefault="008D1A7B" w:rsidP="008D1A7B">
      <w:pPr>
        <w:ind w:firstLine="720"/>
      </w:pPr>
      <w:r>
        <w:t>The event organizers ensured that several sponsor initiatives were involved in displaying a host of experiences before the starting of the even</w:t>
      </w:r>
      <w:r w:rsidRPr="009D4463">
        <w:rPr>
          <w:rFonts w:eastAsia="Times New Roman" w:cs="Times New Roman"/>
          <w:szCs w:val="24"/>
        </w:rPr>
        <w:t xml:space="preserve"> </w:t>
      </w:r>
      <w:r>
        <w:rPr>
          <w:rFonts w:eastAsia="Times New Roman" w:cs="Times New Roman"/>
          <w:szCs w:val="24"/>
        </w:rPr>
        <w:t xml:space="preserve">(Billings, </w:t>
      </w:r>
      <w:r w:rsidRPr="00A7788E">
        <w:rPr>
          <w:rFonts w:eastAsia="Times New Roman" w:cs="Times New Roman"/>
          <w:szCs w:val="24"/>
        </w:rPr>
        <w:t>Coombs</w:t>
      </w:r>
      <w:r>
        <w:rPr>
          <w:rFonts w:eastAsia="Times New Roman" w:cs="Times New Roman"/>
          <w:szCs w:val="24"/>
        </w:rPr>
        <w:t>, &amp; Brown, 2019)</w:t>
      </w:r>
      <w:r>
        <w:t>. Motorola was the official smartphone partner of the event, and before the event kicked off, it has an activation on-site activation booth where fans were provided with promotional products of the brand for free. The products include smartphones, WIFI routers, and modems, which were given to fans who attend the event before the kick-off time, which was scheduled at 11 am. Those who attended the event at 8-9 am got the promotional products of Motorola. The move compelled many fans of tennis to go to the venue on time. The venue was packed to capacity as a result of the free gifts fans were given by Motorola.</w:t>
      </w:r>
    </w:p>
    <w:p w:rsidR="008D1A7B" w:rsidRDefault="008D1A7B" w:rsidP="008D1A7B">
      <w:pPr>
        <w:ind w:firstLine="720"/>
      </w:pPr>
      <w:r>
        <w:t>Besides, Audi, which was the official luxury vehicle for the event, provided fans with opportunities of test driving its newly introduced all-electric e-Tron. And this was only offered to fans who reached the venture before the kick-off of the event. It had a significant impact on the engagement of fans with the vent and the sponsor. Hence, most fans opted to go to the venue before the event started, which was crucially important in ensuring that traffic congestion was eased. Audi is a reputable company renowned in the production of high-end cars that everyone dreams of owning. It offered an Audi-activation space on-site inviting earliest fans to sign up and become engaged in test driving of the e-Tron within the vicinity. Additionally, Audi continued its ping-pong fan activation in the stadium, whereby solar phone charging stations were made available to fans who attended the event before the due time of the kick-off.</w:t>
      </w:r>
    </w:p>
    <w:p w:rsidR="008D1A7B" w:rsidRDefault="008D1A7B" w:rsidP="008D1A7B">
      <w:r>
        <w:t>5. Were there certain parts of the event that appealed more to certain segments of the audience, and not others?</w:t>
      </w:r>
    </w:p>
    <w:p w:rsidR="008D1A7B" w:rsidRDefault="008D1A7B" w:rsidP="008D1A7B">
      <w:pPr>
        <w:ind w:firstLine="720"/>
      </w:pPr>
      <w:r>
        <w:t>The tennis event was attended by different audiences from all walks of life. Some spectators in attendance were more interested in the competitive outcome of the event while some focus on recreational purposes. In the event, different parts appealed to specific segments. Some spectators focused on the competition and cheered their favorite tennis players to win their matches</w:t>
      </w:r>
      <w:r w:rsidRPr="002A5CD3">
        <w:rPr>
          <w:rFonts w:eastAsia="Times New Roman" w:cs="Times New Roman"/>
          <w:szCs w:val="24"/>
        </w:rPr>
        <w:t xml:space="preserve"> </w:t>
      </w:r>
      <w:r>
        <w:rPr>
          <w:rFonts w:eastAsia="Times New Roman" w:cs="Times New Roman"/>
          <w:szCs w:val="24"/>
        </w:rPr>
        <w:t xml:space="preserve">(Cordina, </w:t>
      </w:r>
      <w:r w:rsidRPr="00480221">
        <w:rPr>
          <w:rFonts w:eastAsia="Times New Roman" w:cs="Times New Roman"/>
          <w:szCs w:val="24"/>
        </w:rPr>
        <w:t>Gan</w:t>
      </w:r>
      <w:r>
        <w:rPr>
          <w:rFonts w:eastAsia="Times New Roman" w:cs="Times New Roman"/>
          <w:szCs w:val="24"/>
        </w:rPr>
        <w:t>non, &amp; Croall, 2019)</w:t>
      </w:r>
      <w:r>
        <w:t>. The observable segments that highly consider the competitive outcomes of the event were the competitors, spectators, as well as the support crew. The competitors have support crews that included their family members, friends, coaches, psychotherapists, along with health professionals. They cheered their favorite players to motivate and encourage them to win their encounters.  On the other hand, some attendees put much focus on the dynamics of social relationships they had with others. This was evident in that some audiences were ingrained in socializing and discussing the promotional features of the sponsor initiatives such as their experiences with activities offered by Fila, Motorola, American Express, and IHG Hotel &amp; Resort. Also, some audiences, like the officials and media, are other segments involved in the event. Media ensured that the event was covered and mainstreamed on mass media like television, radio, and the internet for other people who were not in attendance to get entertained and updated on the happening of the event.</w:t>
      </w:r>
    </w:p>
    <w:p w:rsidR="008D1A7B" w:rsidRDefault="008D1A7B" w:rsidP="008D1A7B">
      <w:r>
        <w:t>6. What could be done to improve the overall experience of this event?</w:t>
      </w:r>
    </w:p>
    <w:p w:rsidR="008D1A7B" w:rsidRDefault="008D1A7B" w:rsidP="008D1A7B">
      <w:pPr>
        <w:ind w:firstLine="720"/>
      </w:pPr>
      <w:r>
        <w:t>As the event manager, my primary concern is to ensure that the tennis event has become jam-packed with the target attendees. I would like the attendees to have a high overall experience with the event, which will make sure that they keep coming for future events as well. Hence I made sure that the organizers of the event have successfully marketed it to the audience that connects with the theme and purpose of the event</w:t>
      </w:r>
      <w:r w:rsidRPr="00F00D11">
        <w:rPr>
          <w:rFonts w:eastAsia="Times New Roman" w:cs="Times New Roman"/>
          <w:szCs w:val="24"/>
        </w:rPr>
        <w:t xml:space="preserve"> </w:t>
      </w:r>
      <w:r>
        <w:rPr>
          <w:rFonts w:eastAsia="Times New Roman" w:cs="Times New Roman"/>
          <w:szCs w:val="24"/>
        </w:rPr>
        <w:t>(Fried, &amp; Kastel, 2020)</w:t>
      </w:r>
      <w:r>
        <w:t>. For the better overall experience of the event, I ensured myriad steps were undertaken. Firstly, we worked with influencers to market the event to boost our reach of the intended audience. Influencers have a large following on social media forums, which makes them critically significant in ensuring the engagement of fans with the event. They communicate regularly on social networks, and this can woo several people to attend the event</w:t>
      </w:r>
      <w:r w:rsidRPr="00F00D11">
        <w:rPr>
          <w:rFonts w:eastAsia="Times New Roman" w:cs="Times New Roman"/>
          <w:szCs w:val="24"/>
        </w:rPr>
        <w:t xml:space="preserve"> </w:t>
      </w:r>
      <w:r>
        <w:rPr>
          <w:rFonts w:eastAsia="Times New Roman" w:cs="Times New Roman"/>
          <w:szCs w:val="24"/>
        </w:rPr>
        <w:t>(Chmait et al., 2019)</w:t>
      </w:r>
      <w:r>
        <w:t>. Secondly, the event integrated with sponsor initiatives that offer a range of experiences that ensures an increased engagement of attendees of the event. Some of the sponsors that had the ability to enhance engagement with fans included as Fila, American Express, and Motorola, to name a few. They will offer gifts to attendees, thus heightening fans’ engagement.</w:t>
      </w:r>
    </w:p>
    <w:p w:rsidR="008D1A7B" w:rsidRDefault="008D1A7B" w:rsidP="008D1A7B">
      <w:r>
        <w:t>7. What was the pre-event atmosphere like for this event?</w:t>
      </w:r>
    </w:p>
    <w:p w:rsidR="008D1A7B" w:rsidRDefault="008D1A7B" w:rsidP="008D1A7B">
      <w:pPr>
        <w:ind w:firstLine="720"/>
      </w:pPr>
      <w:r>
        <w:t>The pre-event atmosphere was organized and calm. Fans streamed in the venue in groups with some chanting the names of their players. Attendees could be seen engaging in little chit-chats among themselves in anticipation of the unfolding of events</w:t>
      </w:r>
      <w:r w:rsidRPr="00815046">
        <w:rPr>
          <w:rFonts w:eastAsia="Times New Roman" w:cs="Times New Roman"/>
          <w:szCs w:val="24"/>
        </w:rPr>
        <w:t xml:space="preserve"> </w:t>
      </w:r>
      <w:r>
        <w:rPr>
          <w:rFonts w:eastAsia="Times New Roman" w:cs="Times New Roman"/>
          <w:szCs w:val="24"/>
        </w:rPr>
        <w:t>(Coetzee, Lee, &amp; Faisal, 2019)</w:t>
      </w:r>
      <w:r>
        <w:t>. In the stadium, fans moved in a well-orchestrated way to grab their seats as the chanting grew louder. The sound of a voiceover gave directions to attendees concerning the time the event will kick off and then highlighted a series of mini-events that will be used to enhance their engagement. Brands offered various experiences to fans, which improved their participation in conversations. Tellingly, attendees of the event were happy and enthusiastic about the event to start.</w:t>
      </w:r>
    </w:p>
    <w:p w:rsidR="008D1A7B" w:rsidRDefault="008D1A7B" w:rsidP="008D1A7B">
      <w:r>
        <w:t>Biblical Foundations</w:t>
      </w:r>
    </w:p>
    <w:p w:rsidR="008D1A7B" w:rsidRDefault="008D1A7B" w:rsidP="008D1A7B">
      <w:pPr>
        <w:ind w:firstLine="720"/>
      </w:pPr>
      <w:r>
        <w:t>Several Sports Outreach Ministers, as well as administrative pastors, assign that Sports Outreach is the most tactical tool to be employed by the church to achieve Evangelism, Discipleship, along with the growth of the church. The preferred model for providing platforms for Christian athletes as well as coaches to share their faith and ensure that other people are taught about Jesus Christ has been considered to be through Sports Outreach</w:t>
      </w:r>
      <w:r w:rsidRPr="00592DD0">
        <w:rPr>
          <w:rFonts w:eastAsia="Times New Roman" w:cs="Times New Roman"/>
          <w:szCs w:val="24"/>
        </w:rPr>
        <w:t xml:space="preserve"> </w:t>
      </w:r>
      <w:r>
        <w:rPr>
          <w:rFonts w:eastAsia="Times New Roman" w:cs="Times New Roman"/>
          <w:szCs w:val="24"/>
        </w:rPr>
        <w:t>(</w:t>
      </w:r>
      <w:r w:rsidRPr="00A7788E">
        <w:rPr>
          <w:rFonts w:eastAsia="Times New Roman" w:cs="Times New Roman"/>
          <w:szCs w:val="24"/>
        </w:rPr>
        <w:t>Wh</w:t>
      </w:r>
      <w:r>
        <w:rPr>
          <w:rFonts w:eastAsia="Times New Roman" w:cs="Times New Roman"/>
          <w:szCs w:val="24"/>
        </w:rPr>
        <w:t>itmore, &amp; Parker, 2020)</w:t>
      </w:r>
      <w:r>
        <w:t>. There are classical responses to the dilemma, as evident in capitulation, accommodation, redemption, and rejection.  Sports chaplains are required to meet the prospects of their hosts like a professional or collegiate. Chaplains are not endowed with absolute freedom of preaching the gospel to athletes, particularly when it contravenes the host’s athletic goals</w:t>
      </w:r>
      <w:r w:rsidRPr="00732A1D">
        <w:rPr>
          <w:rFonts w:eastAsia="Times New Roman" w:cs="Times New Roman"/>
          <w:szCs w:val="24"/>
        </w:rPr>
        <w:t xml:space="preserve"> </w:t>
      </w:r>
      <w:r>
        <w:rPr>
          <w:rFonts w:eastAsia="Times New Roman" w:cs="Times New Roman"/>
          <w:szCs w:val="24"/>
        </w:rPr>
        <w:t>(</w:t>
      </w:r>
      <w:r w:rsidRPr="00071C21">
        <w:rPr>
          <w:rFonts w:eastAsia="Times New Roman" w:cs="Times New Roman"/>
          <w:szCs w:val="24"/>
        </w:rPr>
        <w:t>H</w:t>
      </w:r>
      <w:r>
        <w:rPr>
          <w:rFonts w:eastAsia="Times New Roman" w:cs="Times New Roman"/>
          <w:szCs w:val="24"/>
        </w:rPr>
        <w:t>yun, &amp; Jordan, 2019)</w:t>
      </w:r>
      <w:r>
        <w:t>. The concern that should be met is to ensure that athletic chapels are multi-faith to encompass the concern of other faiths too. Therefore, chaplains have to teach Sportianity goals with the aim of teaching the tenets of faith-based goals.</w:t>
      </w:r>
    </w:p>
    <w:p w:rsidR="008D1A7B" w:rsidRDefault="008D1A7B" w:rsidP="008D1A7B">
      <w:pPr>
        <w:ind w:firstLine="720"/>
      </w:pPr>
      <w:r>
        <w:t>Christianity-Sportianity Sports Outreach Tension Continuum is considered relevant in examining the accomplishment of Sports Outreach Ministries is when athletes, along with coaches, declare their faith. The model will only be successful when athletes’ personal integrity regarding their faith, biblical as well as theological training is respected. However, there are few athletes and coaches who side of the Christianity continuum. In the redemption category, few Christians understand their self-identity. Many other athletes find it difficult to identify themselves in the Christianity-Sportianity Sports Outreach Tension Continuum</w:t>
      </w:r>
      <w:r w:rsidRPr="006751BE">
        <w:rPr>
          <w:rFonts w:eastAsia="Times New Roman" w:cs="Times New Roman"/>
          <w:szCs w:val="24"/>
        </w:rPr>
        <w:t xml:space="preserve"> </w:t>
      </w:r>
      <w:r>
        <w:rPr>
          <w:rFonts w:eastAsia="Times New Roman" w:cs="Times New Roman"/>
          <w:szCs w:val="24"/>
        </w:rPr>
        <w:t xml:space="preserve">(Twietmeyer, </w:t>
      </w:r>
      <w:r w:rsidRPr="00A7788E">
        <w:rPr>
          <w:rFonts w:eastAsia="Times New Roman" w:cs="Times New Roman"/>
          <w:szCs w:val="24"/>
        </w:rPr>
        <w:t>Wat</w:t>
      </w:r>
      <w:r>
        <w:rPr>
          <w:rFonts w:eastAsia="Times New Roman" w:cs="Times New Roman"/>
          <w:szCs w:val="24"/>
        </w:rPr>
        <w:t>son, &amp; Parker, 2019)</w:t>
      </w:r>
      <w:r>
        <w:t xml:space="preserve">. Unfortunately, some athletes desert their faith – capitulation. Furthermore, some athletes leave sports – rejection.  </w:t>
      </w:r>
    </w:p>
    <w:p w:rsidR="008D1A7B" w:rsidRDefault="008D1A7B" w:rsidP="008D1A7B">
      <w:pPr>
        <w:ind w:firstLine="720"/>
      </w:pPr>
      <w:r>
        <w:t>The US Open tournament held in Arthur Ashe Stadium encompasses various athletes from different backgrounds of faith. Getting to understand their athletic goals and expectations is astronomically vital in ensuring that they are not swayed from the tenets of their faith. The event had to make sure that the concerns of the athletes are properly addressed, and the required standards of ethics become revered. Additionally, the attendees have different backgrounds of faith ought to be respected. Hence the event organizers of the tournament have to ensure that the sponsors do not showcase materials of activities that castigate one’s faith, whether Christian, Muslim, or Islam. They should display experiences that respect the faiths of the attendees, thereby enhancing improved engagement among them.</w:t>
      </w:r>
    </w:p>
    <w:p w:rsidR="008D1A7B" w:rsidRDefault="008D1A7B" w:rsidP="008D1A7B">
      <w:pPr>
        <w:ind w:firstLine="720"/>
      </w:pPr>
      <w:r>
        <w:t>Christians in sports have launched various initiatives in America with the primary aim of making sure that sporting events enhance the dissemination of Christian beliefs worldwide. As an event manager, I reckon with the need to integrate moral and ethical views in sports to ensure that acceptable codes of conduct are promoted. There is a need to ensure multi-faith backgrounds in the sports that respect opinions and athlete’s goals and those of attendees. The posters of the event that advertised the tournament on social media were done in ways that did not infringe on the ethical morals of athletes and attendees. My work as the event manager ensured that the required legal rules were followed to alleviate issues of radicalization. Sports events are regarded as social places that create unity and bonds among people from different religious backgrounds.</w:t>
      </w:r>
    </w:p>
    <w:p w:rsidR="008D1A7B" w:rsidRDefault="008D1A7B" w:rsidP="008D1A7B">
      <w:r>
        <w:t>Conclusion</w:t>
      </w:r>
    </w:p>
    <w:p w:rsidR="008D1A7B" w:rsidRDefault="008D1A7B" w:rsidP="008D1A7B">
      <w:pPr>
        <w:ind w:firstLine="720"/>
      </w:pPr>
      <w:r>
        <w:t>It is apparent that the attendees of the event had a momentous experience. For example, they were served with a host of experiences by different sponsor initiatives such as Fila, American Express, Audi, and IHG Hotel &amp; Resort. The brands enhanced event engagement with the audience in multiple ways. Attendees were provided with various products ranging from promotional gifts, foodstuffs, and test driving services.  As the event manager, I can attest that the workers of the event properly served attendees. An example is depicted in the warm manner they became welcomed into the venue. The disabled individuals had wheelchair-chair accessible seating. Within the Arthur Ashe stadium, ATMs are positioned at designated points that can be accessed conveniently. The ATMs can be found in various locations – Arthur Ashe Promenade Gate 3/section 331 and Arthur Ashe Club Level gate 3/section 108. Thus attendees’ experience of the event was enhanced as they could easily reach out to the ATMs and withdraw their money. The event took place following the required Sportianity ethics. The religious backgrounds of athletes and fans were kowtowed to such that all the sponsor initiatives inculcated ethical and moral backgrounds concerning their initiatives.</w:t>
      </w:r>
    </w:p>
    <w:p w:rsidR="00140A8B" w:rsidRDefault="00140A8B" w:rsidP="00140A8B">
      <w:pPr>
        <w:jc w:val="center"/>
      </w:pPr>
    </w:p>
    <w:p w:rsidR="00140A8B" w:rsidRDefault="00140A8B" w:rsidP="00140A8B">
      <w:pPr>
        <w:jc w:val="center"/>
      </w:pPr>
    </w:p>
    <w:p w:rsidR="00140A8B" w:rsidRDefault="00140A8B" w:rsidP="00140A8B">
      <w:pPr>
        <w:jc w:val="center"/>
      </w:pPr>
    </w:p>
    <w:p w:rsidR="00140A8B" w:rsidRDefault="00140A8B" w:rsidP="00140A8B">
      <w:pPr>
        <w:jc w:val="center"/>
      </w:pPr>
    </w:p>
    <w:p w:rsidR="00140A8B" w:rsidRDefault="00140A8B" w:rsidP="00140A8B">
      <w:pPr>
        <w:jc w:val="center"/>
      </w:pPr>
    </w:p>
    <w:p w:rsidR="00140A8B" w:rsidRDefault="00140A8B" w:rsidP="00140A8B">
      <w:pPr>
        <w:jc w:val="center"/>
      </w:pPr>
    </w:p>
    <w:p w:rsidR="00140A8B" w:rsidRDefault="00140A8B" w:rsidP="00140A8B">
      <w:pPr>
        <w:jc w:val="center"/>
      </w:pPr>
    </w:p>
    <w:p w:rsidR="00140A8B" w:rsidRPr="006245B9" w:rsidRDefault="008D1A7B" w:rsidP="00140A8B">
      <w:pPr>
        <w:jc w:val="center"/>
      </w:pPr>
      <w:r>
        <w:t>References</w:t>
      </w:r>
    </w:p>
    <w:p w:rsidR="00140A8B" w:rsidRPr="00A7788E" w:rsidRDefault="00140A8B" w:rsidP="00140A8B">
      <w:pPr>
        <w:spacing w:after="0"/>
        <w:ind w:left="720" w:hanging="720"/>
        <w:rPr>
          <w:rFonts w:eastAsia="Times New Roman" w:cs="Times New Roman"/>
          <w:szCs w:val="24"/>
        </w:rPr>
      </w:pPr>
      <w:r w:rsidRPr="00A7788E">
        <w:rPr>
          <w:rFonts w:eastAsia="Times New Roman" w:cs="Times New Roman"/>
          <w:szCs w:val="24"/>
        </w:rPr>
        <w:t xml:space="preserve">Achen, R. M., Kaczorowski, J., Horsmann, T., &amp; Ketzler, A. (2020). Comparing organizational content and fan interaction on Twitter and Facebook in United States professional sport. </w:t>
      </w:r>
      <w:r w:rsidRPr="00A7788E">
        <w:rPr>
          <w:rFonts w:eastAsia="Times New Roman" w:cs="Times New Roman"/>
          <w:i/>
          <w:iCs/>
          <w:szCs w:val="24"/>
        </w:rPr>
        <w:t>Managing Sport and Leisure</w:t>
      </w:r>
      <w:r w:rsidRPr="00A7788E">
        <w:rPr>
          <w:rFonts w:eastAsia="Times New Roman" w:cs="Times New Roman"/>
          <w:szCs w:val="24"/>
        </w:rPr>
        <w:t>, 1-18.</w:t>
      </w:r>
    </w:p>
    <w:p w:rsidR="00140A8B" w:rsidRDefault="00140A8B" w:rsidP="00140A8B">
      <w:pPr>
        <w:spacing w:after="0"/>
        <w:ind w:left="720" w:hanging="720"/>
        <w:rPr>
          <w:rFonts w:eastAsia="Times New Roman" w:cs="Times New Roman"/>
          <w:szCs w:val="24"/>
        </w:rPr>
      </w:pPr>
      <w:r w:rsidRPr="00A7788E">
        <w:rPr>
          <w:rFonts w:eastAsia="Times New Roman" w:cs="Times New Roman"/>
          <w:szCs w:val="24"/>
        </w:rPr>
        <w:t xml:space="preserve">Billings, A. C., Coombs, W. T., &amp; Brown, K. A. (2019). Navigating Brands of Sport-Based Big Business: Exploring Reputation Management in an Evolving Sport Context. </w:t>
      </w:r>
      <w:r w:rsidRPr="00A7788E">
        <w:rPr>
          <w:rFonts w:eastAsia="Times New Roman" w:cs="Times New Roman"/>
          <w:i/>
          <w:iCs/>
          <w:szCs w:val="24"/>
        </w:rPr>
        <w:t>Journal of Global Sport Management</w:t>
      </w:r>
      <w:r w:rsidRPr="00A7788E">
        <w:rPr>
          <w:rFonts w:eastAsia="Times New Roman" w:cs="Times New Roman"/>
          <w:szCs w:val="24"/>
        </w:rPr>
        <w:t>, 1-7.</w:t>
      </w:r>
    </w:p>
    <w:p w:rsidR="00140A8B" w:rsidRPr="00A7788E" w:rsidRDefault="00140A8B" w:rsidP="00140A8B">
      <w:pPr>
        <w:spacing w:after="0"/>
        <w:ind w:left="720" w:hanging="720"/>
        <w:rPr>
          <w:rFonts w:eastAsia="Times New Roman" w:cs="Times New Roman"/>
          <w:szCs w:val="24"/>
        </w:rPr>
      </w:pPr>
      <w:r w:rsidRPr="00A7788E">
        <w:rPr>
          <w:rFonts w:eastAsia="Times New Roman" w:cs="Times New Roman"/>
          <w:szCs w:val="24"/>
        </w:rPr>
        <w:t xml:space="preserve">Chmait, N., Westerbeek, H., Eime, R., Robertson, S., Sellitto, C., &amp; Reid, M. (2020). Tennis influencers: the player effect on social media engagement and demand for tournament attendance. </w:t>
      </w:r>
      <w:r w:rsidRPr="00A7788E">
        <w:rPr>
          <w:rFonts w:eastAsia="Times New Roman" w:cs="Times New Roman"/>
          <w:i/>
          <w:iCs/>
          <w:szCs w:val="24"/>
        </w:rPr>
        <w:t>Telematics and Informatics</w:t>
      </w:r>
      <w:r w:rsidRPr="00A7788E">
        <w:rPr>
          <w:rFonts w:eastAsia="Times New Roman" w:cs="Times New Roman"/>
          <w:szCs w:val="24"/>
        </w:rPr>
        <w:t>, 101381.</w:t>
      </w:r>
    </w:p>
    <w:p w:rsidR="00140A8B" w:rsidRPr="005158D6" w:rsidRDefault="00140A8B" w:rsidP="00140A8B">
      <w:pPr>
        <w:spacing w:after="0"/>
        <w:ind w:left="720" w:hanging="720"/>
        <w:rPr>
          <w:rFonts w:eastAsia="Times New Roman" w:cs="Times New Roman"/>
          <w:szCs w:val="24"/>
        </w:rPr>
      </w:pPr>
      <w:r w:rsidRPr="005158D6">
        <w:rPr>
          <w:rFonts w:eastAsia="Times New Roman" w:cs="Times New Roman"/>
          <w:szCs w:val="24"/>
        </w:rPr>
        <w:t xml:space="preserve">Coetzee, W. J., Lee, C., &amp; Faisal, A. (2019). Predicting intentions to revisit and recommend a sporting event using the event experience scale (EES). </w:t>
      </w:r>
      <w:r w:rsidRPr="005158D6">
        <w:rPr>
          <w:rFonts w:eastAsia="Times New Roman" w:cs="Times New Roman"/>
          <w:i/>
          <w:iCs/>
          <w:szCs w:val="24"/>
        </w:rPr>
        <w:t>Event Management</w:t>
      </w:r>
      <w:r w:rsidRPr="005158D6">
        <w:rPr>
          <w:rFonts w:eastAsia="Times New Roman" w:cs="Times New Roman"/>
          <w:szCs w:val="24"/>
        </w:rPr>
        <w:t xml:space="preserve">, </w:t>
      </w:r>
      <w:r w:rsidRPr="005158D6">
        <w:rPr>
          <w:rFonts w:eastAsia="Times New Roman" w:cs="Times New Roman"/>
          <w:i/>
          <w:iCs/>
          <w:szCs w:val="24"/>
        </w:rPr>
        <w:t>23</w:t>
      </w:r>
      <w:r w:rsidRPr="005158D6">
        <w:rPr>
          <w:rFonts w:eastAsia="Times New Roman" w:cs="Times New Roman"/>
          <w:szCs w:val="24"/>
        </w:rPr>
        <w:t>(3), 303-314.</w:t>
      </w:r>
    </w:p>
    <w:p w:rsidR="00140A8B" w:rsidRDefault="00140A8B" w:rsidP="00140A8B">
      <w:pPr>
        <w:spacing w:after="0"/>
        <w:ind w:left="720" w:hanging="720"/>
        <w:rPr>
          <w:rFonts w:eastAsia="Times New Roman" w:cs="Times New Roman"/>
          <w:szCs w:val="24"/>
        </w:rPr>
      </w:pPr>
      <w:r w:rsidRPr="00480221">
        <w:rPr>
          <w:rFonts w:eastAsia="Times New Roman" w:cs="Times New Roman"/>
          <w:szCs w:val="24"/>
        </w:rPr>
        <w:t xml:space="preserve">Cordina, R., Gannon, M. J., &amp; Croall, R. (2019). Over and over: local fans and spectator sport tourist engagement. </w:t>
      </w:r>
      <w:r w:rsidRPr="00480221">
        <w:rPr>
          <w:rFonts w:eastAsia="Times New Roman" w:cs="Times New Roman"/>
          <w:i/>
          <w:iCs/>
          <w:szCs w:val="24"/>
        </w:rPr>
        <w:t>The Service Industries Journal</w:t>
      </w:r>
      <w:r w:rsidRPr="00480221">
        <w:rPr>
          <w:rFonts w:eastAsia="Times New Roman" w:cs="Times New Roman"/>
          <w:szCs w:val="24"/>
        </w:rPr>
        <w:t xml:space="preserve">, </w:t>
      </w:r>
      <w:r w:rsidRPr="00480221">
        <w:rPr>
          <w:rFonts w:eastAsia="Times New Roman" w:cs="Times New Roman"/>
          <w:i/>
          <w:iCs/>
          <w:szCs w:val="24"/>
        </w:rPr>
        <w:t>39</w:t>
      </w:r>
      <w:r w:rsidRPr="00480221">
        <w:rPr>
          <w:rFonts w:eastAsia="Times New Roman" w:cs="Times New Roman"/>
          <w:szCs w:val="24"/>
        </w:rPr>
        <w:t>(7-8), 590-608.</w:t>
      </w:r>
    </w:p>
    <w:p w:rsidR="00140A8B" w:rsidRPr="00A7788E" w:rsidRDefault="00140A8B" w:rsidP="00140A8B">
      <w:pPr>
        <w:spacing w:after="0"/>
        <w:ind w:left="720" w:hanging="720"/>
        <w:rPr>
          <w:rFonts w:eastAsia="Times New Roman" w:cs="Times New Roman"/>
          <w:szCs w:val="24"/>
        </w:rPr>
      </w:pPr>
      <w:r w:rsidRPr="00A7788E">
        <w:rPr>
          <w:rFonts w:eastAsia="Times New Roman" w:cs="Times New Roman"/>
          <w:szCs w:val="24"/>
        </w:rPr>
        <w:t xml:space="preserve">Fried, G., &amp; Kastel, M. (2020). </w:t>
      </w:r>
      <w:r w:rsidRPr="00A7788E">
        <w:rPr>
          <w:rFonts w:eastAsia="Times New Roman" w:cs="Times New Roman"/>
          <w:i/>
          <w:iCs/>
          <w:szCs w:val="24"/>
        </w:rPr>
        <w:t>Managing sport facilities</w:t>
      </w:r>
      <w:r w:rsidRPr="00A7788E">
        <w:rPr>
          <w:rFonts w:eastAsia="Times New Roman" w:cs="Times New Roman"/>
          <w:szCs w:val="24"/>
        </w:rPr>
        <w:t>. Human Kinetics Publishers.</w:t>
      </w:r>
    </w:p>
    <w:p w:rsidR="00140A8B" w:rsidRPr="00071C21" w:rsidRDefault="00140A8B" w:rsidP="00140A8B">
      <w:pPr>
        <w:spacing w:after="0"/>
        <w:ind w:left="720" w:hanging="720"/>
        <w:rPr>
          <w:rFonts w:eastAsia="Times New Roman" w:cs="Times New Roman"/>
          <w:szCs w:val="24"/>
        </w:rPr>
      </w:pPr>
      <w:r w:rsidRPr="00071C21">
        <w:rPr>
          <w:rFonts w:eastAsia="Times New Roman" w:cs="Times New Roman"/>
          <w:szCs w:val="24"/>
        </w:rPr>
        <w:t xml:space="preserve">Hyun, M., &amp; Jordan, J. S. (2019). Athletic goal achievement: A critical antecedent of event satisfaction, re-participation intention, and future exercise intention in participant sport events. </w:t>
      </w:r>
      <w:r w:rsidRPr="00071C21">
        <w:rPr>
          <w:rFonts w:eastAsia="Times New Roman" w:cs="Times New Roman"/>
          <w:i/>
          <w:iCs/>
          <w:szCs w:val="24"/>
        </w:rPr>
        <w:t>Sport Management Review</w:t>
      </w:r>
      <w:r w:rsidRPr="00071C21">
        <w:rPr>
          <w:rFonts w:eastAsia="Times New Roman" w:cs="Times New Roman"/>
          <w:szCs w:val="24"/>
        </w:rPr>
        <w:t>.</w:t>
      </w:r>
    </w:p>
    <w:p w:rsidR="00140A8B" w:rsidRPr="00A7788E" w:rsidRDefault="00140A8B" w:rsidP="00140A8B">
      <w:pPr>
        <w:spacing w:after="0"/>
        <w:ind w:left="720" w:hanging="720"/>
        <w:rPr>
          <w:rFonts w:eastAsia="Times New Roman" w:cs="Times New Roman"/>
          <w:szCs w:val="24"/>
        </w:rPr>
      </w:pPr>
      <w:r w:rsidRPr="00A7788E">
        <w:rPr>
          <w:rFonts w:eastAsia="Times New Roman" w:cs="Times New Roman"/>
          <w:szCs w:val="24"/>
        </w:rPr>
        <w:t xml:space="preserve">Twietmeyer, G., Watson, N. J., &amp; Parker, A. (2019). Sport, Christianity and Social Justice? Considering a Theological Foundation. </w:t>
      </w:r>
      <w:r w:rsidRPr="00A7788E">
        <w:rPr>
          <w:rFonts w:eastAsia="Times New Roman" w:cs="Times New Roman"/>
          <w:i/>
          <w:iCs/>
          <w:szCs w:val="24"/>
        </w:rPr>
        <w:t>Quest</w:t>
      </w:r>
      <w:r w:rsidRPr="00A7788E">
        <w:rPr>
          <w:rFonts w:eastAsia="Times New Roman" w:cs="Times New Roman"/>
          <w:szCs w:val="24"/>
        </w:rPr>
        <w:t xml:space="preserve">, </w:t>
      </w:r>
      <w:r w:rsidRPr="00A7788E">
        <w:rPr>
          <w:rFonts w:eastAsia="Times New Roman" w:cs="Times New Roman"/>
          <w:i/>
          <w:iCs/>
          <w:szCs w:val="24"/>
        </w:rPr>
        <w:t>71</w:t>
      </w:r>
      <w:r w:rsidRPr="00A7788E">
        <w:rPr>
          <w:rFonts w:eastAsia="Times New Roman" w:cs="Times New Roman"/>
          <w:szCs w:val="24"/>
        </w:rPr>
        <w:t>(2), 121-137.</w:t>
      </w:r>
    </w:p>
    <w:p w:rsidR="00140A8B" w:rsidRPr="00A7788E" w:rsidRDefault="00140A8B" w:rsidP="00140A8B">
      <w:pPr>
        <w:spacing w:after="0"/>
        <w:ind w:left="720" w:hanging="720"/>
        <w:rPr>
          <w:rFonts w:eastAsia="Times New Roman" w:cs="Times New Roman"/>
          <w:szCs w:val="24"/>
        </w:rPr>
      </w:pPr>
      <w:r w:rsidRPr="00A7788E">
        <w:rPr>
          <w:rFonts w:eastAsia="Times New Roman" w:cs="Times New Roman"/>
          <w:szCs w:val="24"/>
        </w:rPr>
        <w:t xml:space="preserve">Whitmore, W., &amp; Parker, A. (2020). Towards a theology of sports chaplaincy. </w:t>
      </w:r>
      <w:r w:rsidRPr="00A7788E">
        <w:rPr>
          <w:rFonts w:eastAsia="Times New Roman" w:cs="Times New Roman"/>
          <w:i/>
          <w:iCs/>
          <w:szCs w:val="24"/>
        </w:rPr>
        <w:t>Practical Theology</w:t>
      </w:r>
      <w:r w:rsidRPr="00A7788E">
        <w:rPr>
          <w:rFonts w:eastAsia="Times New Roman" w:cs="Times New Roman"/>
          <w:szCs w:val="24"/>
        </w:rPr>
        <w:t>, 1-11.</w:t>
      </w:r>
    </w:p>
    <w:p w:rsidR="008D1A7B" w:rsidRDefault="008D1A7B" w:rsidP="008D1A7B">
      <w:pPr>
        <w:jc w:val="center"/>
      </w:pPr>
    </w:p>
    <w:p w:rsidR="008D1A7B" w:rsidRDefault="008D1A7B" w:rsidP="008D1A7B"/>
    <w:p w:rsidR="008D1A7B" w:rsidRDefault="008D1A7B" w:rsidP="008D1A7B"/>
    <w:p w:rsidR="0034777A" w:rsidRPr="007E7377" w:rsidRDefault="0034777A" w:rsidP="008D1A7B"/>
    <w:p w:rsidR="008D1A7B" w:rsidRDefault="008D1A7B" w:rsidP="008D1A7B">
      <w:pPr>
        <w:jc w:val="center"/>
      </w:pPr>
    </w:p>
    <w:p w:rsidR="0034777A" w:rsidRPr="007E7377" w:rsidRDefault="0034777A" w:rsidP="008D1A7B"/>
    <w:sectPr w:rsidR="0034777A" w:rsidRPr="007E7377" w:rsidSect="008D1A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F49" w:rsidRDefault="00A17F49" w:rsidP="008D1A7B">
      <w:pPr>
        <w:spacing w:after="0" w:line="240" w:lineRule="auto"/>
      </w:pPr>
      <w:r>
        <w:separator/>
      </w:r>
    </w:p>
  </w:endnote>
  <w:endnote w:type="continuationSeparator" w:id="0">
    <w:p w:rsidR="00A17F49" w:rsidRDefault="00A17F49" w:rsidP="008D1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F49" w:rsidRDefault="00A17F49" w:rsidP="008D1A7B">
      <w:pPr>
        <w:spacing w:after="0" w:line="240" w:lineRule="auto"/>
      </w:pPr>
      <w:r>
        <w:separator/>
      </w:r>
    </w:p>
  </w:footnote>
  <w:footnote w:type="continuationSeparator" w:id="0">
    <w:p w:rsidR="00A17F49" w:rsidRDefault="00A17F49" w:rsidP="008D1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2033672"/>
      <w:docPartObj>
        <w:docPartGallery w:val="Page Numbers (Top of Page)"/>
        <w:docPartUnique/>
      </w:docPartObj>
    </w:sdtPr>
    <w:sdtEndPr/>
    <w:sdtContent>
      <w:p w:rsidR="008D1A7B" w:rsidRDefault="008D1A7B">
        <w:pPr>
          <w:pStyle w:val="Header"/>
          <w:jc w:val="right"/>
        </w:pPr>
        <w:r>
          <w:t>US OPEN TOURNAMENT</w:t>
        </w:r>
        <w:r>
          <w:tab/>
        </w:r>
        <w:r>
          <w:tab/>
        </w:r>
        <w:r w:rsidR="00A17F49">
          <w:fldChar w:fldCharType="begin"/>
        </w:r>
        <w:r w:rsidR="00A17F49">
          <w:instrText xml:space="preserve"> PAGE   \* MERGEFORMAT </w:instrText>
        </w:r>
        <w:r w:rsidR="00A17F49">
          <w:fldChar w:fldCharType="separate"/>
        </w:r>
        <w:r w:rsidR="00D70516">
          <w:rPr>
            <w:noProof/>
          </w:rPr>
          <w:t>2</w:t>
        </w:r>
        <w:r w:rsidR="00A17F49">
          <w:rPr>
            <w:noProof/>
          </w:rPr>
          <w:fldChar w:fldCharType="end"/>
        </w:r>
      </w:p>
    </w:sdtContent>
  </w:sdt>
  <w:p w:rsidR="008D1A7B" w:rsidRDefault="008D1A7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A7B" w:rsidRDefault="008D1A7B">
    <w:pPr>
      <w:pStyle w:val="Header"/>
    </w:pPr>
    <w:r>
      <w:t>Running Head: US OPEN TOURNAMENT</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6799A"/>
    <w:multiLevelType w:val="hybridMultilevel"/>
    <w:tmpl w:val="A662A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90F"/>
    <w:rsid w:val="00020797"/>
    <w:rsid w:val="000B7217"/>
    <w:rsid w:val="000F2D81"/>
    <w:rsid w:val="001043BC"/>
    <w:rsid w:val="00133D6A"/>
    <w:rsid w:val="00140A8B"/>
    <w:rsid w:val="00152BEC"/>
    <w:rsid w:val="0026290F"/>
    <w:rsid w:val="00293C19"/>
    <w:rsid w:val="002A14B5"/>
    <w:rsid w:val="002A5CD3"/>
    <w:rsid w:val="002D25C0"/>
    <w:rsid w:val="00307B9F"/>
    <w:rsid w:val="0034777A"/>
    <w:rsid w:val="003B2BE8"/>
    <w:rsid w:val="0044159C"/>
    <w:rsid w:val="00592DD0"/>
    <w:rsid w:val="006751BE"/>
    <w:rsid w:val="00732A1D"/>
    <w:rsid w:val="007E7377"/>
    <w:rsid w:val="00803B9D"/>
    <w:rsid w:val="00815046"/>
    <w:rsid w:val="008230C3"/>
    <w:rsid w:val="00841178"/>
    <w:rsid w:val="008D1A7B"/>
    <w:rsid w:val="009D4463"/>
    <w:rsid w:val="009E6377"/>
    <w:rsid w:val="009F520B"/>
    <w:rsid w:val="00A17F49"/>
    <w:rsid w:val="00A26B5C"/>
    <w:rsid w:val="00AC3120"/>
    <w:rsid w:val="00AF07D9"/>
    <w:rsid w:val="00C03BC5"/>
    <w:rsid w:val="00CE478F"/>
    <w:rsid w:val="00D0727C"/>
    <w:rsid w:val="00D70516"/>
    <w:rsid w:val="00E75697"/>
    <w:rsid w:val="00F00D11"/>
    <w:rsid w:val="00F43DA9"/>
    <w:rsid w:val="00F55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879EFB-890A-45DE-9BD4-F52F65E92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90F"/>
    <w:pPr>
      <w:ind w:left="720"/>
      <w:contextualSpacing/>
    </w:pPr>
  </w:style>
  <w:style w:type="paragraph" w:styleId="Header">
    <w:name w:val="header"/>
    <w:basedOn w:val="Normal"/>
    <w:link w:val="HeaderChar"/>
    <w:uiPriority w:val="99"/>
    <w:unhideWhenUsed/>
    <w:rsid w:val="008D1A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A7B"/>
    <w:rPr>
      <w:rFonts w:ascii="Times New Roman" w:hAnsi="Times New Roman"/>
      <w:sz w:val="24"/>
    </w:rPr>
  </w:style>
  <w:style w:type="paragraph" w:styleId="Footer">
    <w:name w:val="footer"/>
    <w:basedOn w:val="Normal"/>
    <w:link w:val="FooterChar"/>
    <w:uiPriority w:val="99"/>
    <w:semiHidden/>
    <w:unhideWhenUsed/>
    <w:rsid w:val="008D1A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1A7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2714</Words>
  <Characters>15471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2020-04-26T02:28:00Z</dcterms:created>
  <dcterms:modified xsi:type="dcterms:W3CDTF">2020-04-26T02:28:00Z</dcterms:modified>
</cp:coreProperties>
</file>